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C1" w:rsidRPr="00315040" w:rsidRDefault="00315040" w:rsidP="00503CC1">
      <w:pPr>
        <w:pStyle w:val="NoSpacing"/>
        <w:rPr>
          <w:b/>
          <w:u w:val="single"/>
        </w:rPr>
      </w:pPr>
      <w:r w:rsidRPr="00315040">
        <w:rPr>
          <w:b/>
          <w:u w:val="single"/>
        </w:rPr>
        <w:t>Fee Structure for O</w:t>
      </w:r>
      <w:r w:rsidR="008A3626" w:rsidRPr="00315040">
        <w:rPr>
          <w:b/>
          <w:u w:val="single"/>
        </w:rPr>
        <w:t>utdoor Special Events</w:t>
      </w:r>
    </w:p>
    <w:p w:rsidR="00503CC1" w:rsidRDefault="00503CC1" w:rsidP="00503CC1">
      <w:pPr>
        <w:pStyle w:val="NoSpacing"/>
      </w:pPr>
    </w:p>
    <w:p w:rsidR="00503CC1" w:rsidRDefault="00503CC1" w:rsidP="00503CC1">
      <w:pPr>
        <w:pStyle w:val="NoSpacing"/>
      </w:pPr>
    </w:p>
    <w:p w:rsidR="00AF78E3" w:rsidRDefault="00503CC1" w:rsidP="00503CC1">
      <w:pPr>
        <w:pStyle w:val="NoSpacing"/>
      </w:pPr>
      <w:r>
        <w:t xml:space="preserve">The following </w:t>
      </w:r>
      <w:r w:rsidR="00E04600">
        <w:t>fee structure</w:t>
      </w:r>
      <w:r>
        <w:t xml:space="preserve"> will take effect for </w:t>
      </w:r>
      <w:r w:rsidR="006634F5">
        <w:t xml:space="preserve">events </w:t>
      </w:r>
      <w:r w:rsidR="00BE5B69">
        <w:t>taking place after</w:t>
      </w:r>
      <w:r>
        <w:t xml:space="preserve"> </w:t>
      </w:r>
      <w:r w:rsidR="006634F5">
        <w:t>January 1</w:t>
      </w:r>
      <w:r>
        <w:t>, 201</w:t>
      </w:r>
      <w:r w:rsidR="00BE5B69">
        <w:t>7</w:t>
      </w:r>
      <w:r w:rsidR="00AF78E3">
        <w:t>.</w:t>
      </w:r>
    </w:p>
    <w:p w:rsidR="00503CC1" w:rsidRDefault="00E04600" w:rsidP="00503CC1">
      <w:pPr>
        <w:pStyle w:val="NoSpacing"/>
      </w:pPr>
      <w:r w:rsidRPr="00E04600">
        <w:t xml:space="preserve"> </w:t>
      </w: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522"/>
        <w:gridCol w:w="3276"/>
        <w:gridCol w:w="2842"/>
        <w:gridCol w:w="2988"/>
      </w:tblGrid>
      <w:tr w:rsidR="00372038" w:rsidRPr="00714972" w:rsidTr="00306E72">
        <w:tc>
          <w:tcPr>
            <w:tcW w:w="0" w:type="auto"/>
            <w:shd w:val="clear" w:color="auto" w:fill="808080" w:themeFill="background1" w:themeFillShade="80"/>
          </w:tcPr>
          <w:p w:rsidR="00372038" w:rsidRPr="00891D91" w:rsidRDefault="00372038" w:rsidP="0049140D">
            <w:pPr>
              <w:pStyle w:val="NoSpacing"/>
              <w:rPr>
                <w:b/>
                <w:color w:val="FFFFFF" w:themeColor="background1"/>
              </w:rPr>
            </w:pPr>
            <w:r w:rsidRPr="00891D91">
              <w:rPr>
                <w:b/>
                <w:color w:val="FFFFFF" w:themeColor="background1"/>
              </w:rPr>
              <w:t xml:space="preserve">1. </w:t>
            </w:r>
          </w:p>
        </w:tc>
        <w:tc>
          <w:tcPr>
            <w:tcW w:w="3276" w:type="dxa"/>
            <w:shd w:val="clear" w:color="auto" w:fill="808080" w:themeFill="background1" w:themeFillShade="80"/>
          </w:tcPr>
          <w:p w:rsidR="00372038" w:rsidRPr="00891D91" w:rsidRDefault="00372038" w:rsidP="00E04600">
            <w:pPr>
              <w:pStyle w:val="NoSpacing"/>
              <w:rPr>
                <w:b/>
                <w:color w:val="FFFFFF" w:themeColor="background1"/>
              </w:rPr>
            </w:pPr>
          </w:p>
        </w:tc>
        <w:tc>
          <w:tcPr>
            <w:tcW w:w="2842" w:type="dxa"/>
            <w:shd w:val="clear" w:color="auto" w:fill="808080" w:themeFill="background1" w:themeFillShade="80"/>
          </w:tcPr>
          <w:p w:rsidR="00372038" w:rsidRPr="00891D91" w:rsidRDefault="006634F5" w:rsidP="00D43361">
            <w:pPr>
              <w:pStyle w:val="NoSpac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Minimum Fees For Private Operations Or Commercial Ventures</w:t>
            </w:r>
          </w:p>
        </w:tc>
        <w:tc>
          <w:tcPr>
            <w:tcW w:w="2988" w:type="dxa"/>
            <w:shd w:val="clear" w:color="auto" w:fill="808080" w:themeFill="background1" w:themeFillShade="80"/>
          </w:tcPr>
          <w:p w:rsidR="00372038" w:rsidRPr="00891D91" w:rsidRDefault="006634F5" w:rsidP="00306E72">
            <w:pPr>
              <w:pStyle w:val="NoSpacing"/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Standard Fees For Non-Profit or Charitable Groups</w:t>
            </w:r>
          </w:p>
        </w:tc>
      </w:tr>
      <w:tr w:rsidR="00372038" w:rsidTr="00306E72">
        <w:tc>
          <w:tcPr>
            <w:tcW w:w="0" w:type="auto"/>
          </w:tcPr>
          <w:p w:rsidR="00372038" w:rsidRDefault="00372038" w:rsidP="00E04600">
            <w:pPr>
              <w:pStyle w:val="NoSpacing"/>
            </w:pPr>
            <w:r>
              <w:t>2.</w:t>
            </w:r>
          </w:p>
        </w:tc>
        <w:tc>
          <w:tcPr>
            <w:tcW w:w="3276" w:type="dxa"/>
          </w:tcPr>
          <w:p w:rsidR="00372038" w:rsidRPr="00463878" w:rsidRDefault="00372038" w:rsidP="00552B75">
            <w:pPr>
              <w:pStyle w:val="NoSpacing"/>
              <w:rPr>
                <w:sz w:val="18"/>
                <w:szCs w:val="18"/>
              </w:rPr>
            </w:pPr>
            <w:r>
              <w:t xml:space="preserve">Non-refundable application fee </w:t>
            </w:r>
          </w:p>
        </w:tc>
        <w:tc>
          <w:tcPr>
            <w:tcW w:w="2842" w:type="dxa"/>
          </w:tcPr>
          <w:p w:rsidR="00372038" w:rsidRDefault="006634F5" w:rsidP="00D43361">
            <w:pPr>
              <w:pStyle w:val="NoSpacing"/>
            </w:pPr>
            <w:r>
              <w:t>$5</w:t>
            </w:r>
            <w:r w:rsidR="00372038">
              <w:t>0 per event</w:t>
            </w:r>
          </w:p>
        </w:tc>
        <w:tc>
          <w:tcPr>
            <w:tcW w:w="2988" w:type="dxa"/>
          </w:tcPr>
          <w:p w:rsidR="00372038" w:rsidRDefault="006634F5" w:rsidP="006634F5">
            <w:pPr>
              <w:pStyle w:val="NoSpacing"/>
            </w:pPr>
            <w:r>
              <w:t>$5</w:t>
            </w:r>
            <w:r w:rsidR="00372038">
              <w:t>0</w:t>
            </w:r>
            <w:r>
              <w:t xml:space="preserve"> per event</w:t>
            </w:r>
          </w:p>
        </w:tc>
      </w:tr>
      <w:tr w:rsidR="00372038" w:rsidTr="00306E72">
        <w:tc>
          <w:tcPr>
            <w:tcW w:w="0" w:type="auto"/>
            <w:shd w:val="clear" w:color="auto" w:fill="808080" w:themeFill="background1" w:themeFillShade="80"/>
          </w:tcPr>
          <w:p w:rsidR="00372038" w:rsidRDefault="00372038" w:rsidP="00E04600">
            <w:pPr>
              <w:pStyle w:val="NoSpacing"/>
            </w:pPr>
          </w:p>
        </w:tc>
        <w:tc>
          <w:tcPr>
            <w:tcW w:w="3276" w:type="dxa"/>
            <w:shd w:val="clear" w:color="auto" w:fill="808080" w:themeFill="background1" w:themeFillShade="80"/>
          </w:tcPr>
          <w:p w:rsidR="00372038" w:rsidRDefault="00372038" w:rsidP="00E04600">
            <w:pPr>
              <w:pStyle w:val="NoSpacing"/>
            </w:pPr>
          </w:p>
        </w:tc>
        <w:tc>
          <w:tcPr>
            <w:tcW w:w="2842" w:type="dxa"/>
            <w:shd w:val="clear" w:color="auto" w:fill="808080" w:themeFill="background1" w:themeFillShade="80"/>
          </w:tcPr>
          <w:p w:rsidR="00372038" w:rsidRDefault="00372038" w:rsidP="00D43361">
            <w:pPr>
              <w:pStyle w:val="NoSpacing"/>
            </w:pPr>
          </w:p>
        </w:tc>
        <w:tc>
          <w:tcPr>
            <w:tcW w:w="2988" w:type="dxa"/>
            <w:shd w:val="clear" w:color="auto" w:fill="808080" w:themeFill="background1" w:themeFillShade="80"/>
          </w:tcPr>
          <w:p w:rsidR="00372038" w:rsidRDefault="00372038" w:rsidP="006634F5">
            <w:pPr>
              <w:pStyle w:val="NoSpacing"/>
            </w:pPr>
          </w:p>
        </w:tc>
      </w:tr>
      <w:tr w:rsidR="00372038" w:rsidTr="00306E72">
        <w:tc>
          <w:tcPr>
            <w:tcW w:w="0" w:type="auto"/>
          </w:tcPr>
          <w:p w:rsidR="00372038" w:rsidRDefault="00372038" w:rsidP="00E04600">
            <w:pPr>
              <w:pStyle w:val="NoSpacing"/>
            </w:pPr>
            <w:r>
              <w:t>3.</w:t>
            </w:r>
          </w:p>
        </w:tc>
        <w:tc>
          <w:tcPr>
            <w:tcW w:w="3276" w:type="dxa"/>
          </w:tcPr>
          <w:p w:rsidR="00372038" w:rsidRDefault="00372038" w:rsidP="00E04600">
            <w:pPr>
              <w:pStyle w:val="NoSpacing"/>
            </w:pPr>
            <w:r>
              <w:t xml:space="preserve">Area usage (general) – small </w:t>
            </w:r>
          </w:p>
        </w:tc>
        <w:tc>
          <w:tcPr>
            <w:tcW w:w="2842" w:type="dxa"/>
          </w:tcPr>
          <w:p w:rsidR="00372038" w:rsidRDefault="006634F5" w:rsidP="00D43361">
            <w:pPr>
              <w:pStyle w:val="NoSpacing"/>
            </w:pPr>
            <w:r>
              <w:t>$2</w:t>
            </w:r>
            <w:r w:rsidR="00BE5B69">
              <w:t>5</w:t>
            </w:r>
            <w:r w:rsidR="00372038">
              <w:t>0 per day</w:t>
            </w:r>
          </w:p>
        </w:tc>
        <w:tc>
          <w:tcPr>
            <w:tcW w:w="2988" w:type="dxa"/>
          </w:tcPr>
          <w:p w:rsidR="00372038" w:rsidRDefault="00BE5B69" w:rsidP="006634F5">
            <w:pPr>
              <w:pStyle w:val="NoSpacing"/>
            </w:pPr>
            <w:r>
              <w:t>$125</w:t>
            </w:r>
            <w:r w:rsidR="006634F5">
              <w:t xml:space="preserve"> per day</w:t>
            </w:r>
          </w:p>
        </w:tc>
      </w:tr>
      <w:tr w:rsidR="00372038" w:rsidTr="00306E72">
        <w:tc>
          <w:tcPr>
            <w:tcW w:w="0" w:type="auto"/>
          </w:tcPr>
          <w:p w:rsidR="00372038" w:rsidRDefault="00372038" w:rsidP="00E04600">
            <w:pPr>
              <w:pStyle w:val="NoSpacing"/>
            </w:pPr>
          </w:p>
        </w:tc>
        <w:tc>
          <w:tcPr>
            <w:tcW w:w="3276" w:type="dxa"/>
          </w:tcPr>
          <w:p w:rsidR="00372038" w:rsidRDefault="00372038" w:rsidP="00E04600">
            <w:pPr>
              <w:pStyle w:val="NoSpacing"/>
            </w:pPr>
            <w:r>
              <w:t xml:space="preserve">Area usage (general) – big </w:t>
            </w:r>
          </w:p>
        </w:tc>
        <w:tc>
          <w:tcPr>
            <w:tcW w:w="2842" w:type="dxa"/>
          </w:tcPr>
          <w:p w:rsidR="00372038" w:rsidRDefault="00BE5B69" w:rsidP="00D43361">
            <w:pPr>
              <w:pStyle w:val="NoSpacing"/>
            </w:pPr>
            <w:r>
              <w:t>$55</w:t>
            </w:r>
            <w:r w:rsidR="00372038">
              <w:t>0 per day</w:t>
            </w:r>
          </w:p>
        </w:tc>
        <w:tc>
          <w:tcPr>
            <w:tcW w:w="2988" w:type="dxa"/>
          </w:tcPr>
          <w:p w:rsidR="00372038" w:rsidRDefault="00BE5B69" w:rsidP="006634F5">
            <w:pPr>
              <w:pStyle w:val="NoSpacing"/>
            </w:pPr>
            <w:r>
              <w:t>$275</w:t>
            </w:r>
            <w:r w:rsidR="006634F5">
              <w:t xml:space="preserve"> per day</w:t>
            </w:r>
          </w:p>
        </w:tc>
      </w:tr>
      <w:tr w:rsidR="00372038" w:rsidTr="00306E72">
        <w:tc>
          <w:tcPr>
            <w:tcW w:w="0" w:type="auto"/>
            <w:shd w:val="clear" w:color="auto" w:fill="808080" w:themeFill="background1" w:themeFillShade="80"/>
          </w:tcPr>
          <w:p w:rsidR="00372038" w:rsidRDefault="00372038" w:rsidP="00E04600">
            <w:pPr>
              <w:pStyle w:val="NoSpacing"/>
            </w:pPr>
          </w:p>
        </w:tc>
        <w:tc>
          <w:tcPr>
            <w:tcW w:w="3276" w:type="dxa"/>
            <w:shd w:val="clear" w:color="auto" w:fill="808080" w:themeFill="background1" w:themeFillShade="80"/>
          </w:tcPr>
          <w:p w:rsidR="00372038" w:rsidRDefault="00372038" w:rsidP="00E04600">
            <w:pPr>
              <w:pStyle w:val="NoSpacing"/>
            </w:pPr>
          </w:p>
        </w:tc>
        <w:tc>
          <w:tcPr>
            <w:tcW w:w="2842" w:type="dxa"/>
            <w:shd w:val="clear" w:color="auto" w:fill="808080" w:themeFill="background1" w:themeFillShade="80"/>
          </w:tcPr>
          <w:p w:rsidR="00372038" w:rsidRDefault="00372038" w:rsidP="00D43361">
            <w:pPr>
              <w:pStyle w:val="NoSpacing"/>
            </w:pPr>
          </w:p>
        </w:tc>
        <w:tc>
          <w:tcPr>
            <w:tcW w:w="2988" w:type="dxa"/>
            <w:shd w:val="clear" w:color="auto" w:fill="808080" w:themeFill="background1" w:themeFillShade="80"/>
          </w:tcPr>
          <w:p w:rsidR="00372038" w:rsidRDefault="00372038" w:rsidP="006634F5">
            <w:pPr>
              <w:pStyle w:val="NoSpacing"/>
            </w:pPr>
          </w:p>
        </w:tc>
      </w:tr>
      <w:tr w:rsidR="00372038" w:rsidTr="00306E72">
        <w:tc>
          <w:tcPr>
            <w:tcW w:w="0" w:type="auto"/>
          </w:tcPr>
          <w:p w:rsidR="00372038" w:rsidRDefault="00372038" w:rsidP="00E04600">
            <w:pPr>
              <w:pStyle w:val="NoSpacing"/>
            </w:pPr>
            <w:r>
              <w:t>4.</w:t>
            </w:r>
          </w:p>
        </w:tc>
        <w:tc>
          <w:tcPr>
            <w:tcW w:w="3276" w:type="dxa"/>
          </w:tcPr>
          <w:p w:rsidR="00372038" w:rsidRDefault="00372038" w:rsidP="00552B75">
            <w:pPr>
              <w:pStyle w:val="NoSpacing"/>
            </w:pPr>
            <w:r>
              <w:t>Area usage (prime) – small</w:t>
            </w:r>
          </w:p>
        </w:tc>
        <w:tc>
          <w:tcPr>
            <w:tcW w:w="2842" w:type="dxa"/>
          </w:tcPr>
          <w:p w:rsidR="00372038" w:rsidRDefault="006634F5" w:rsidP="00D43361">
            <w:pPr>
              <w:pStyle w:val="NoSpacing"/>
            </w:pPr>
            <w:r>
              <w:t>$4</w:t>
            </w:r>
            <w:r w:rsidR="00BE5B69">
              <w:t>5</w:t>
            </w:r>
            <w:r w:rsidR="00372038">
              <w:t xml:space="preserve">0 per day </w:t>
            </w:r>
          </w:p>
        </w:tc>
        <w:tc>
          <w:tcPr>
            <w:tcW w:w="2988" w:type="dxa"/>
          </w:tcPr>
          <w:p w:rsidR="00372038" w:rsidRDefault="00BE5B69" w:rsidP="006634F5">
            <w:pPr>
              <w:pStyle w:val="NoSpacing"/>
            </w:pPr>
            <w:r>
              <w:t>$2</w:t>
            </w:r>
            <w:r w:rsidR="001674E7">
              <w:t>2</w:t>
            </w:r>
            <w:r>
              <w:t>5</w:t>
            </w:r>
            <w:r w:rsidR="006634F5">
              <w:t xml:space="preserve"> per day</w:t>
            </w:r>
          </w:p>
        </w:tc>
      </w:tr>
      <w:tr w:rsidR="00372038" w:rsidTr="00306E72">
        <w:tc>
          <w:tcPr>
            <w:tcW w:w="0" w:type="auto"/>
          </w:tcPr>
          <w:p w:rsidR="00372038" w:rsidRDefault="00372038" w:rsidP="00E04600">
            <w:pPr>
              <w:pStyle w:val="NoSpacing"/>
            </w:pPr>
          </w:p>
        </w:tc>
        <w:tc>
          <w:tcPr>
            <w:tcW w:w="3276" w:type="dxa"/>
          </w:tcPr>
          <w:p w:rsidR="00372038" w:rsidRDefault="00372038" w:rsidP="00315040">
            <w:pPr>
              <w:pStyle w:val="NoSpacing"/>
            </w:pPr>
            <w:r>
              <w:t>Area usage (prime) – big</w:t>
            </w:r>
          </w:p>
        </w:tc>
        <w:tc>
          <w:tcPr>
            <w:tcW w:w="2842" w:type="dxa"/>
          </w:tcPr>
          <w:p w:rsidR="00372038" w:rsidRDefault="00BE5B69" w:rsidP="00D43361">
            <w:pPr>
              <w:pStyle w:val="NoSpacing"/>
            </w:pPr>
            <w:r>
              <w:t>$1,1</w:t>
            </w:r>
            <w:r w:rsidR="00372038">
              <w:t>00 per day</w:t>
            </w:r>
          </w:p>
        </w:tc>
        <w:tc>
          <w:tcPr>
            <w:tcW w:w="2988" w:type="dxa"/>
          </w:tcPr>
          <w:p w:rsidR="00372038" w:rsidRDefault="00BE5B69" w:rsidP="006634F5">
            <w:pPr>
              <w:pStyle w:val="NoSpacing"/>
            </w:pPr>
            <w:r>
              <w:t>$55</w:t>
            </w:r>
            <w:r w:rsidR="006634F5">
              <w:t>0 per day</w:t>
            </w:r>
          </w:p>
        </w:tc>
      </w:tr>
      <w:tr w:rsidR="00372038" w:rsidTr="00306E72">
        <w:tc>
          <w:tcPr>
            <w:tcW w:w="0" w:type="auto"/>
            <w:shd w:val="clear" w:color="auto" w:fill="808080" w:themeFill="background1" w:themeFillShade="80"/>
          </w:tcPr>
          <w:p w:rsidR="00372038" w:rsidRDefault="00372038" w:rsidP="00E04600">
            <w:pPr>
              <w:pStyle w:val="NoSpacing"/>
            </w:pPr>
          </w:p>
        </w:tc>
        <w:tc>
          <w:tcPr>
            <w:tcW w:w="3276" w:type="dxa"/>
            <w:shd w:val="clear" w:color="auto" w:fill="808080" w:themeFill="background1" w:themeFillShade="80"/>
          </w:tcPr>
          <w:p w:rsidR="00372038" w:rsidRDefault="00372038" w:rsidP="00E04600">
            <w:pPr>
              <w:pStyle w:val="NoSpacing"/>
            </w:pPr>
          </w:p>
        </w:tc>
        <w:tc>
          <w:tcPr>
            <w:tcW w:w="2842" w:type="dxa"/>
            <w:shd w:val="clear" w:color="auto" w:fill="808080" w:themeFill="background1" w:themeFillShade="80"/>
          </w:tcPr>
          <w:p w:rsidR="00372038" w:rsidRDefault="00372038" w:rsidP="00D43361">
            <w:pPr>
              <w:pStyle w:val="NoSpacing"/>
            </w:pPr>
          </w:p>
        </w:tc>
        <w:tc>
          <w:tcPr>
            <w:tcW w:w="2988" w:type="dxa"/>
            <w:shd w:val="clear" w:color="auto" w:fill="808080" w:themeFill="background1" w:themeFillShade="80"/>
          </w:tcPr>
          <w:p w:rsidR="00372038" w:rsidRDefault="00372038" w:rsidP="006634F5">
            <w:pPr>
              <w:pStyle w:val="NoSpacing"/>
            </w:pPr>
          </w:p>
        </w:tc>
      </w:tr>
      <w:tr w:rsidR="00372038" w:rsidTr="00306E72">
        <w:tc>
          <w:tcPr>
            <w:tcW w:w="0" w:type="auto"/>
          </w:tcPr>
          <w:p w:rsidR="00372038" w:rsidRDefault="00372038" w:rsidP="008A3626">
            <w:pPr>
              <w:pStyle w:val="NoSpacing"/>
            </w:pPr>
            <w:r>
              <w:t>5.</w:t>
            </w:r>
          </w:p>
        </w:tc>
        <w:tc>
          <w:tcPr>
            <w:tcW w:w="3276" w:type="dxa"/>
          </w:tcPr>
          <w:p w:rsidR="00372038" w:rsidRDefault="00372038" w:rsidP="008A3626">
            <w:pPr>
              <w:pStyle w:val="NoSpacing"/>
            </w:pPr>
            <w:r>
              <w:t>Queen Elizabeth II Gardens</w:t>
            </w:r>
          </w:p>
        </w:tc>
        <w:tc>
          <w:tcPr>
            <w:tcW w:w="2842" w:type="dxa"/>
          </w:tcPr>
          <w:p w:rsidR="00372038" w:rsidRDefault="00BE5B69" w:rsidP="00D43361">
            <w:pPr>
              <w:pStyle w:val="NoSpacing"/>
            </w:pPr>
            <w:r>
              <w:t xml:space="preserve">$500 per day </w:t>
            </w:r>
          </w:p>
        </w:tc>
        <w:tc>
          <w:tcPr>
            <w:tcW w:w="2988" w:type="dxa"/>
          </w:tcPr>
          <w:p w:rsidR="00372038" w:rsidRDefault="00BE5B69" w:rsidP="006634F5">
            <w:pPr>
              <w:pStyle w:val="NoSpacing"/>
            </w:pPr>
            <w:r>
              <w:t xml:space="preserve">$250 per day </w:t>
            </w:r>
          </w:p>
        </w:tc>
      </w:tr>
      <w:tr w:rsidR="00372038" w:rsidRPr="003C35C3" w:rsidTr="00306E72">
        <w:tc>
          <w:tcPr>
            <w:tcW w:w="0" w:type="auto"/>
            <w:shd w:val="clear" w:color="auto" w:fill="808080" w:themeFill="background1" w:themeFillShade="80"/>
          </w:tcPr>
          <w:p w:rsidR="00372038" w:rsidRPr="003C35C3" w:rsidRDefault="00372038" w:rsidP="00FB360F">
            <w:pPr>
              <w:pStyle w:val="NoSpacing"/>
              <w:rPr>
                <w:b/>
              </w:rPr>
            </w:pPr>
          </w:p>
        </w:tc>
        <w:tc>
          <w:tcPr>
            <w:tcW w:w="3276" w:type="dxa"/>
            <w:shd w:val="clear" w:color="auto" w:fill="808080" w:themeFill="background1" w:themeFillShade="80"/>
          </w:tcPr>
          <w:p w:rsidR="00372038" w:rsidRPr="003C35C3" w:rsidRDefault="00372038" w:rsidP="00FB360F">
            <w:pPr>
              <w:pStyle w:val="NoSpacing"/>
              <w:rPr>
                <w:b/>
              </w:rPr>
            </w:pPr>
          </w:p>
        </w:tc>
        <w:tc>
          <w:tcPr>
            <w:tcW w:w="2842" w:type="dxa"/>
            <w:shd w:val="clear" w:color="auto" w:fill="808080" w:themeFill="background1" w:themeFillShade="80"/>
          </w:tcPr>
          <w:p w:rsidR="00372038" w:rsidRPr="003C35C3" w:rsidRDefault="00372038" w:rsidP="00D43361">
            <w:pPr>
              <w:pStyle w:val="NoSpacing"/>
              <w:rPr>
                <w:b/>
              </w:rPr>
            </w:pPr>
          </w:p>
        </w:tc>
        <w:tc>
          <w:tcPr>
            <w:tcW w:w="2988" w:type="dxa"/>
            <w:shd w:val="clear" w:color="auto" w:fill="808080" w:themeFill="background1" w:themeFillShade="80"/>
          </w:tcPr>
          <w:p w:rsidR="00372038" w:rsidRPr="003C35C3" w:rsidRDefault="00372038" w:rsidP="00306E72">
            <w:pPr>
              <w:pStyle w:val="NoSpacing"/>
              <w:jc w:val="right"/>
              <w:rPr>
                <w:b/>
              </w:rPr>
            </w:pPr>
          </w:p>
        </w:tc>
      </w:tr>
      <w:tr w:rsidR="00372038" w:rsidTr="00306E72">
        <w:tc>
          <w:tcPr>
            <w:tcW w:w="0" w:type="auto"/>
          </w:tcPr>
          <w:p w:rsidR="00372038" w:rsidRDefault="00372038" w:rsidP="008A3626">
            <w:pPr>
              <w:pStyle w:val="NoSpacing"/>
            </w:pPr>
            <w:r>
              <w:t>6.</w:t>
            </w:r>
          </w:p>
        </w:tc>
        <w:tc>
          <w:tcPr>
            <w:tcW w:w="3276" w:type="dxa"/>
          </w:tcPr>
          <w:p w:rsidR="00372038" w:rsidRDefault="00372038" w:rsidP="008A3626">
            <w:pPr>
              <w:pStyle w:val="NoSpacing"/>
            </w:pPr>
            <w:r>
              <w:t>Attendance surcharge</w:t>
            </w:r>
          </w:p>
        </w:tc>
        <w:tc>
          <w:tcPr>
            <w:tcW w:w="2842" w:type="dxa"/>
          </w:tcPr>
          <w:p w:rsidR="00372038" w:rsidRDefault="00BE5B69" w:rsidP="00D43361">
            <w:pPr>
              <w:pStyle w:val="NoSpacing"/>
            </w:pPr>
            <w:r>
              <w:t>$125</w:t>
            </w:r>
            <w:r w:rsidR="00372038">
              <w:t xml:space="preserve"> per worker per hour</w:t>
            </w:r>
          </w:p>
        </w:tc>
        <w:tc>
          <w:tcPr>
            <w:tcW w:w="2988" w:type="dxa"/>
          </w:tcPr>
          <w:p w:rsidR="00372038" w:rsidRDefault="00DC5404" w:rsidP="006634F5">
            <w:pPr>
              <w:pStyle w:val="NoSpacing"/>
            </w:pPr>
            <w:r>
              <w:t>$</w:t>
            </w:r>
            <w:r w:rsidR="00BE5B69">
              <w:t>125</w:t>
            </w:r>
            <w:r w:rsidR="006634F5">
              <w:t xml:space="preserve"> per worker per hour</w:t>
            </w:r>
          </w:p>
        </w:tc>
      </w:tr>
      <w:tr w:rsidR="00372038" w:rsidRPr="003C35C3" w:rsidTr="00306E72">
        <w:tc>
          <w:tcPr>
            <w:tcW w:w="0" w:type="auto"/>
            <w:shd w:val="clear" w:color="auto" w:fill="808080" w:themeFill="background1" w:themeFillShade="80"/>
          </w:tcPr>
          <w:p w:rsidR="00372038" w:rsidRPr="003C35C3" w:rsidRDefault="00372038" w:rsidP="00FB360F">
            <w:pPr>
              <w:pStyle w:val="NoSpacing"/>
              <w:rPr>
                <w:b/>
              </w:rPr>
            </w:pPr>
          </w:p>
        </w:tc>
        <w:tc>
          <w:tcPr>
            <w:tcW w:w="3276" w:type="dxa"/>
            <w:shd w:val="clear" w:color="auto" w:fill="808080" w:themeFill="background1" w:themeFillShade="80"/>
          </w:tcPr>
          <w:p w:rsidR="00372038" w:rsidRPr="003C35C3" w:rsidRDefault="00372038" w:rsidP="00FB360F">
            <w:pPr>
              <w:pStyle w:val="NoSpacing"/>
              <w:rPr>
                <w:b/>
              </w:rPr>
            </w:pPr>
          </w:p>
        </w:tc>
        <w:tc>
          <w:tcPr>
            <w:tcW w:w="2842" w:type="dxa"/>
            <w:shd w:val="clear" w:color="auto" w:fill="808080" w:themeFill="background1" w:themeFillShade="80"/>
          </w:tcPr>
          <w:p w:rsidR="00372038" w:rsidRPr="003C35C3" w:rsidRDefault="00372038" w:rsidP="00D43361">
            <w:pPr>
              <w:pStyle w:val="NoSpacing"/>
              <w:rPr>
                <w:b/>
              </w:rPr>
            </w:pPr>
          </w:p>
        </w:tc>
        <w:tc>
          <w:tcPr>
            <w:tcW w:w="2988" w:type="dxa"/>
            <w:shd w:val="clear" w:color="auto" w:fill="808080" w:themeFill="background1" w:themeFillShade="80"/>
          </w:tcPr>
          <w:p w:rsidR="00372038" w:rsidRPr="003C35C3" w:rsidRDefault="00372038" w:rsidP="006634F5">
            <w:pPr>
              <w:pStyle w:val="NoSpacing"/>
              <w:rPr>
                <w:b/>
              </w:rPr>
            </w:pPr>
          </w:p>
        </w:tc>
      </w:tr>
      <w:tr w:rsidR="00372038" w:rsidTr="00306E72">
        <w:tc>
          <w:tcPr>
            <w:tcW w:w="0" w:type="auto"/>
          </w:tcPr>
          <w:p w:rsidR="00372038" w:rsidRDefault="00372038" w:rsidP="008A3626">
            <w:pPr>
              <w:pStyle w:val="NoSpacing"/>
            </w:pPr>
            <w:r>
              <w:t>7.</w:t>
            </w:r>
          </w:p>
        </w:tc>
        <w:tc>
          <w:tcPr>
            <w:tcW w:w="3276" w:type="dxa"/>
          </w:tcPr>
          <w:p w:rsidR="00372038" w:rsidRDefault="00372038" w:rsidP="008A3626">
            <w:pPr>
              <w:pStyle w:val="NoSpacing"/>
            </w:pPr>
            <w:r>
              <w:t>Extended duration maintenance surcharge</w:t>
            </w:r>
          </w:p>
        </w:tc>
        <w:tc>
          <w:tcPr>
            <w:tcW w:w="2842" w:type="dxa"/>
          </w:tcPr>
          <w:p w:rsidR="00372038" w:rsidRDefault="006634F5" w:rsidP="00D43361">
            <w:pPr>
              <w:pStyle w:val="NoSpacing"/>
            </w:pPr>
            <w:r>
              <w:t>$2</w:t>
            </w:r>
            <w:r w:rsidR="00BE5B69">
              <w:t>50</w:t>
            </w:r>
            <w:r w:rsidR="00372038">
              <w:t xml:space="preserve"> per day</w:t>
            </w:r>
          </w:p>
        </w:tc>
        <w:tc>
          <w:tcPr>
            <w:tcW w:w="2988" w:type="dxa"/>
          </w:tcPr>
          <w:p w:rsidR="00372038" w:rsidRDefault="006634F5" w:rsidP="006634F5">
            <w:pPr>
              <w:pStyle w:val="NoSpacing"/>
            </w:pPr>
            <w:r>
              <w:t>$1</w:t>
            </w:r>
            <w:r w:rsidR="00BE5B69">
              <w:t>25</w:t>
            </w:r>
            <w:r>
              <w:t xml:space="preserve"> per day</w:t>
            </w:r>
          </w:p>
        </w:tc>
      </w:tr>
      <w:tr w:rsidR="00372038" w:rsidRPr="003C35C3" w:rsidTr="00306E72">
        <w:tc>
          <w:tcPr>
            <w:tcW w:w="0" w:type="auto"/>
            <w:shd w:val="clear" w:color="auto" w:fill="808080" w:themeFill="background1" w:themeFillShade="80"/>
          </w:tcPr>
          <w:p w:rsidR="00372038" w:rsidRPr="003C35C3" w:rsidRDefault="00372038" w:rsidP="00FB360F">
            <w:pPr>
              <w:pStyle w:val="NoSpacing"/>
              <w:rPr>
                <w:b/>
              </w:rPr>
            </w:pPr>
          </w:p>
        </w:tc>
        <w:tc>
          <w:tcPr>
            <w:tcW w:w="3276" w:type="dxa"/>
            <w:shd w:val="clear" w:color="auto" w:fill="808080" w:themeFill="background1" w:themeFillShade="80"/>
          </w:tcPr>
          <w:p w:rsidR="00372038" w:rsidRPr="003C35C3" w:rsidRDefault="00372038" w:rsidP="00FB360F">
            <w:pPr>
              <w:pStyle w:val="NoSpacing"/>
              <w:rPr>
                <w:b/>
              </w:rPr>
            </w:pPr>
          </w:p>
        </w:tc>
        <w:tc>
          <w:tcPr>
            <w:tcW w:w="2842" w:type="dxa"/>
            <w:shd w:val="clear" w:color="auto" w:fill="808080" w:themeFill="background1" w:themeFillShade="80"/>
          </w:tcPr>
          <w:p w:rsidR="00372038" w:rsidRPr="003C35C3" w:rsidRDefault="00372038" w:rsidP="00D43361">
            <w:pPr>
              <w:pStyle w:val="NoSpacing"/>
              <w:rPr>
                <w:b/>
              </w:rPr>
            </w:pPr>
          </w:p>
        </w:tc>
        <w:tc>
          <w:tcPr>
            <w:tcW w:w="2988" w:type="dxa"/>
            <w:shd w:val="clear" w:color="auto" w:fill="808080" w:themeFill="background1" w:themeFillShade="80"/>
          </w:tcPr>
          <w:p w:rsidR="00372038" w:rsidRPr="003C35C3" w:rsidRDefault="00372038" w:rsidP="006634F5">
            <w:pPr>
              <w:pStyle w:val="NoSpacing"/>
              <w:rPr>
                <w:b/>
              </w:rPr>
            </w:pPr>
          </w:p>
        </w:tc>
      </w:tr>
      <w:tr w:rsidR="00372038" w:rsidRPr="00187553" w:rsidTr="00306E72">
        <w:tc>
          <w:tcPr>
            <w:tcW w:w="0" w:type="auto"/>
            <w:shd w:val="clear" w:color="auto" w:fill="auto"/>
          </w:tcPr>
          <w:p w:rsidR="00372038" w:rsidRPr="00187553" w:rsidRDefault="00372038" w:rsidP="00E42777">
            <w:pPr>
              <w:pStyle w:val="NoSpacing"/>
            </w:pPr>
            <w:r>
              <w:t>8</w:t>
            </w:r>
            <w:r w:rsidRPr="00187553">
              <w:t>.</w:t>
            </w:r>
          </w:p>
        </w:tc>
        <w:tc>
          <w:tcPr>
            <w:tcW w:w="3276" w:type="dxa"/>
            <w:shd w:val="clear" w:color="auto" w:fill="auto"/>
          </w:tcPr>
          <w:p w:rsidR="00372038" w:rsidRPr="00187553" w:rsidRDefault="00372038" w:rsidP="00E42777">
            <w:pPr>
              <w:pStyle w:val="NoSpacing"/>
            </w:pPr>
            <w:r w:rsidRPr="00187553">
              <w:t>Vendor surcharge</w:t>
            </w:r>
          </w:p>
        </w:tc>
        <w:tc>
          <w:tcPr>
            <w:tcW w:w="2842" w:type="dxa"/>
          </w:tcPr>
          <w:p w:rsidR="00372038" w:rsidRPr="00187553" w:rsidRDefault="00BE5B69" w:rsidP="00D43361">
            <w:pPr>
              <w:pStyle w:val="NoSpacing"/>
            </w:pPr>
            <w:r>
              <w:t>$125</w:t>
            </w:r>
            <w:r w:rsidR="00372038">
              <w:t xml:space="preserve"> per vendor per event</w:t>
            </w:r>
          </w:p>
        </w:tc>
        <w:tc>
          <w:tcPr>
            <w:tcW w:w="2988" w:type="dxa"/>
            <w:shd w:val="clear" w:color="auto" w:fill="auto"/>
          </w:tcPr>
          <w:p w:rsidR="00372038" w:rsidRPr="00187553" w:rsidRDefault="00BE5B69" w:rsidP="006634F5">
            <w:pPr>
              <w:pStyle w:val="NoSpacing"/>
            </w:pPr>
            <w:r>
              <w:t>$125</w:t>
            </w:r>
            <w:r w:rsidR="006634F5">
              <w:t xml:space="preserve"> per vendor per event</w:t>
            </w:r>
          </w:p>
        </w:tc>
      </w:tr>
      <w:tr w:rsidR="00372038" w:rsidTr="00306E72">
        <w:tc>
          <w:tcPr>
            <w:tcW w:w="0" w:type="auto"/>
            <w:shd w:val="clear" w:color="auto" w:fill="808080" w:themeFill="background1" w:themeFillShade="80"/>
          </w:tcPr>
          <w:p w:rsidR="00372038" w:rsidRDefault="00372038" w:rsidP="00E04600">
            <w:pPr>
              <w:pStyle w:val="NoSpacing"/>
            </w:pPr>
          </w:p>
        </w:tc>
        <w:tc>
          <w:tcPr>
            <w:tcW w:w="3276" w:type="dxa"/>
            <w:shd w:val="clear" w:color="auto" w:fill="808080" w:themeFill="background1" w:themeFillShade="80"/>
          </w:tcPr>
          <w:p w:rsidR="00372038" w:rsidRDefault="00372038" w:rsidP="00E04600">
            <w:pPr>
              <w:pStyle w:val="NoSpacing"/>
            </w:pPr>
          </w:p>
        </w:tc>
        <w:tc>
          <w:tcPr>
            <w:tcW w:w="2842" w:type="dxa"/>
            <w:shd w:val="clear" w:color="auto" w:fill="808080" w:themeFill="background1" w:themeFillShade="80"/>
          </w:tcPr>
          <w:p w:rsidR="00372038" w:rsidRDefault="00372038" w:rsidP="00D43361">
            <w:pPr>
              <w:pStyle w:val="NoSpacing"/>
            </w:pPr>
          </w:p>
        </w:tc>
        <w:tc>
          <w:tcPr>
            <w:tcW w:w="2988" w:type="dxa"/>
            <w:shd w:val="clear" w:color="auto" w:fill="808080" w:themeFill="background1" w:themeFillShade="80"/>
          </w:tcPr>
          <w:p w:rsidR="00372038" w:rsidRDefault="00372038" w:rsidP="006634F5">
            <w:pPr>
              <w:pStyle w:val="NoSpacing"/>
            </w:pPr>
          </w:p>
        </w:tc>
      </w:tr>
      <w:tr w:rsidR="00372038" w:rsidTr="00306E72">
        <w:tc>
          <w:tcPr>
            <w:tcW w:w="0" w:type="auto"/>
          </w:tcPr>
          <w:p w:rsidR="00372038" w:rsidRDefault="00372038" w:rsidP="00E42777">
            <w:pPr>
              <w:pStyle w:val="NoSpacing"/>
            </w:pPr>
            <w:r>
              <w:t>9.</w:t>
            </w:r>
          </w:p>
        </w:tc>
        <w:tc>
          <w:tcPr>
            <w:tcW w:w="3276" w:type="dxa"/>
          </w:tcPr>
          <w:p w:rsidR="00372038" w:rsidRDefault="00372038" w:rsidP="00E42777">
            <w:pPr>
              <w:pStyle w:val="NoSpacing"/>
            </w:pPr>
            <w:r>
              <w:t xml:space="preserve">Lake Access </w:t>
            </w:r>
          </w:p>
        </w:tc>
        <w:tc>
          <w:tcPr>
            <w:tcW w:w="2842" w:type="dxa"/>
          </w:tcPr>
          <w:p w:rsidR="00372038" w:rsidRDefault="006634F5" w:rsidP="00D43361">
            <w:pPr>
              <w:pStyle w:val="NoSpacing"/>
            </w:pPr>
            <w:r>
              <w:t>$2</w:t>
            </w:r>
            <w:r w:rsidR="00BE5B69">
              <w:t>5</w:t>
            </w:r>
            <w:r w:rsidR="00372038">
              <w:t>0 per day</w:t>
            </w:r>
          </w:p>
        </w:tc>
        <w:tc>
          <w:tcPr>
            <w:tcW w:w="2988" w:type="dxa"/>
          </w:tcPr>
          <w:p w:rsidR="00372038" w:rsidRDefault="00BE5B69" w:rsidP="006634F5">
            <w:pPr>
              <w:pStyle w:val="NoSpacing"/>
            </w:pPr>
            <w:r>
              <w:t>$125</w:t>
            </w:r>
            <w:r w:rsidR="006634F5">
              <w:t xml:space="preserve"> per day</w:t>
            </w:r>
          </w:p>
        </w:tc>
      </w:tr>
      <w:tr w:rsidR="00372038" w:rsidRPr="003C35C3" w:rsidTr="00306E72">
        <w:tc>
          <w:tcPr>
            <w:tcW w:w="0" w:type="auto"/>
            <w:shd w:val="clear" w:color="auto" w:fill="808080" w:themeFill="background1" w:themeFillShade="80"/>
          </w:tcPr>
          <w:p w:rsidR="00372038" w:rsidRPr="003C35C3" w:rsidRDefault="00372038" w:rsidP="00E42777">
            <w:pPr>
              <w:pStyle w:val="NoSpacing"/>
              <w:rPr>
                <w:b/>
              </w:rPr>
            </w:pPr>
          </w:p>
        </w:tc>
        <w:tc>
          <w:tcPr>
            <w:tcW w:w="3276" w:type="dxa"/>
            <w:shd w:val="clear" w:color="auto" w:fill="808080" w:themeFill="background1" w:themeFillShade="80"/>
          </w:tcPr>
          <w:p w:rsidR="00372038" w:rsidRPr="003C35C3" w:rsidRDefault="00372038" w:rsidP="00E42777">
            <w:pPr>
              <w:pStyle w:val="NoSpacing"/>
              <w:rPr>
                <w:b/>
              </w:rPr>
            </w:pPr>
          </w:p>
        </w:tc>
        <w:tc>
          <w:tcPr>
            <w:tcW w:w="2842" w:type="dxa"/>
            <w:shd w:val="clear" w:color="auto" w:fill="808080" w:themeFill="background1" w:themeFillShade="80"/>
          </w:tcPr>
          <w:p w:rsidR="00372038" w:rsidRPr="003C35C3" w:rsidRDefault="00372038" w:rsidP="00D43361">
            <w:pPr>
              <w:pStyle w:val="NoSpacing"/>
              <w:rPr>
                <w:b/>
              </w:rPr>
            </w:pPr>
          </w:p>
        </w:tc>
        <w:tc>
          <w:tcPr>
            <w:tcW w:w="2988" w:type="dxa"/>
            <w:shd w:val="clear" w:color="auto" w:fill="808080" w:themeFill="background1" w:themeFillShade="80"/>
          </w:tcPr>
          <w:p w:rsidR="00372038" w:rsidRPr="003C35C3" w:rsidRDefault="00372038" w:rsidP="006634F5">
            <w:pPr>
              <w:pStyle w:val="NoSpacing"/>
              <w:rPr>
                <w:b/>
              </w:rPr>
            </w:pPr>
          </w:p>
        </w:tc>
      </w:tr>
      <w:tr w:rsidR="00372038" w:rsidTr="00306E72">
        <w:tc>
          <w:tcPr>
            <w:tcW w:w="0" w:type="auto"/>
          </w:tcPr>
          <w:p w:rsidR="00372038" w:rsidRDefault="00372038" w:rsidP="00503CC1">
            <w:pPr>
              <w:pStyle w:val="NoSpacing"/>
            </w:pPr>
            <w:r>
              <w:t>10.</w:t>
            </w:r>
          </w:p>
        </w:tc>
        <w:tc>
          <w:tcPr>
            <w:tcW w:w="3276" w:type="dxa"/>
          </w:tcPr>
          <w:p w:rsidR="00372038" w:rsidRDefault="00372038" w:rsidP="00503CC1">
            <w:pPr>
              <w:pStyle w:val="NoSpacing"/>
            </w:pPr>
            <w:r>
              <w:t xml:space="preserve">Road/path preservation </w:t>
            </w:r>
          </w:p>
        </w:tc>
        <w:tc>
          <w:tcPr>
            <w:tcW w:w="2842" w:type="dxa"/>
          </w:tcPr>
          <w:p w:rsidR="00372038" w:rsidRDefault="00BE5B69" w:rsidP="00D43361">
            <w:pPr>
              <w:pStyle w:val="NoSpacing"/>
            </w:pPr>
            <w:r>
              <w:t>$7</w:t>
            </w:r>
            <w:r w:rsidR="006634F5">
              <w:t>0</w:t>
            </w:r>
            <w:r w:rsidR="00372038">
              <w:t xml:space="preserve"> per km</w:t>
            </w:r>
          </w:p>
        </w:tc>
        <w:tc>
          <w:tcPr>
            <w:tcW w:w="2988" w:type="dxa"/>
          </w:tcPr>
          <w:p w:rsidR="00372038" w:rsidRDefault="00BE5B69" w:rsidP="006634F5">
            <w:pPr>
              <w:pStyle w:val="NoSpacing"/>
            </w:pPr>
            <w:r>
              <w:t>$3</w:t>
            </w:r>
            <w:r w:rsidR="006634F5">
              <w:t>5 per km</w:t>
            </w:r>
          </w:p>
        </w:tc>
      </w:tr>
      <w:tr w:rsidR="00372038" w:rsidTr="00306E72">
        <w:tc>
          <w:tcPr>
            <w:tcW w:w="0" w:type="auto"/>
            <w:shd w:val="clear" w:color="auto" w:fill="808080" w:themeFill="background1" w:themeFillShade="80"/>
          </w:tcPr>
          <w:p w:rsidR="00372038" w:rsidRDefault="00372038" w:rsidP="00E04600">
            <w:pPr>
              <w:pStyle w:val="NoSpacing"/>
            </w:pPr>
          </w:p>
        </w:tc>
        <w:tc>
          <w:tcPr>
            <w:tcW w:w="3276" w:type="dxa"/>
            <w:shd w:val="clear" w:color="auto" w:fill="808080" w:themeFill="background1" w:themeFillShade="80"/>
          </w:tcPr>
          <w:p w:rsidR="00372038" w:rsidRDefault="00372038" w:rsidP="00E04600">
            <w:pPr>
              <w:pStyle w:val="NoSpacing"/>
            </w:pPr>
          </w:p>
        </w:tc>
        <w:tc>
          <w:tcPr>
            <w:tcW w:w="2842" w:type="dxa"/>
            <w:shd w:val="clear" w:color="auto" w:fill="808080" w:themeFill="background1" w:themeFillShade="80"/>
          </w:tcPr>
          <w:p w:rsidR="00372038" w:rsidRDefault="00372038" w:rsidP="00D43361">
            <w:pPr>
              <w:pStyle w:val="NoSpacing"/>
            </w:pPr>
          </w:p>
        </w:tc>
        <w:tc>
          <w:tcPr>
            <w:tcW w:w="2988" w:type="dxa"/>
            <w:shd w:val="clear" w:color="auto" w:fill="808080" w:themeFill="background1" w:themeFillShade="80"/>
          </w:tcPr>
          <w:p w:rsidR="00372038" w:rsidRDefault="00372038" w:rsidP="006634F5">
            <w:pPr>
              <w:pStyle w:val="NoSpacing"/>
            </w:pPr>
          </w:p>
        </w:tc>
      </w:tr>
      <w:tr w:rsidR="00372038" w:rsidTr="00306E72">
        <w:tc>
          <w:tcPr>
            <w:tcW w:w="0" w:type="auto"/>
          </w:tcPr>
          <w:p w:rsidR="00372038" w:rsidRDefault="00372038" w:rsidP="00E04600">
            <w:pPr>
              <w:pStyle w:val="NoSpacing"/>
            </w:pPr>
            <w:r>
              <w:t>11.</w:t>
            </w:r>
          </w:p>
        </w:tc>
        <w:tc>
          <w:tcPr>
            <w:tcW w:w="3276" w:type="dxa"/>
          </w:tcPr>
          <w:p w:rsidR="00372038" w:rsidRDefault="00372038" w:rsidP="00E04600">
            <w:pPr>
              <w:pStyle w:val="NoSpacing"/>
            </w:pPr>
            <w:r>
              <w:t>Fitness programs</w:t>
            </w:r>
          </w:p>
        </w:tc>
        <w:tc>
          <w:tcPr>
            <w:tcW w:w="2842" w:type="dxa"/>
          </w:tcPr>
          <w:p w:rsidR="00372038" w:rsidRDefault="00BE5B69" w:rsidP="00D43361">
            <w:pPr>
              <w:pStyle w:val="NoSpacing"/>
            </w:pPr>
            <w:r>
              <w:t>$7</w:t>
            </w:r>
            <w:r w:rsidR="006634F5">
              <w:t>0</w:t>
            </w:r>
            <w:r w:rsidR="00372038">
              <w:t xml:space="preserve"> per hour</w:t>
            </w:r>
          </w:p>
        </w:tc>
        <w:tc>
          <w:tcPr>
            <w:tcW w:w="2988" w:type="dxa"/>
          </w:tcPr>
          <w:p w:rsidR="00372038" w:rsidRDefault="00BE5B69" w:rsidP="006634F5">
            <w:pPr>
              <w:pStyle w:val="NoSpacing"/>
            </w:pPr>
            <w:r>
              <w:t>$3</w:t>
            </w:r>
            <w:r w:rsidR="006634F5">
              <w:t>5 per hour</w:t>
            </w:r>
          </w:p>
        </w:tc>
      </w:tr>
      <w:tr w:rsidR="00372038" w:rsidTr="00306E72">
        <w:tc>
          <w:tcPr>
            <w:tcW w:w="0" w:type="auto"/>
            <w:shd w:val="clear" w:color="auto" w:fill="808080" w:themeFill="background1" w:themeFillShade="80"/>
          </w:tcPr>
          <w:p w:rsidR="00372038" w:rsidRDefault="00372038" w:rsidP="003821A2">
            <w:pPr>
              <w:pStyle w:val="NoSpacing"/>
            </w:pPr>
          </w:p>
        </w:tc>
        <w:tc>
          <w:tcPr>
            <w:tcW w:w="3276" w:type="dxa"/>
            <w:shd w:val="clear" w:color="auto" w:fill="808080" w:themeFill="background1" w:themeFillShade="80"/>
          </w:tcPr>
          <w:p w:rsidR="00372038" w:rsidRDefault="00372038" w:rsidP="003821A2">
            <w:pPr>
              <w:pStyle w:val="NoSpacing"/>
            </w:pPr>
          </w:p>
        </w:tc>
        <w:tc>
          <w:tcPr>
            <w:tcW w:w="2842" w:type="dxa"/>
            <w:shd w:val="clear" w:color="auto" w:fill="808080" w:themeFill="background1" w:themeFillShade="80"/>
          </w:tcPr>
          <w:p w:rsidR="00372038" w:rsidRDefault="00372038" w:rsidP="00D43361">
            <w:pPr>
              <w:pStyle w:val="NoSpacing"/>
            </w:pPr>
          </w:p>
        </w:tc>
        <w:tc>
          <w:tcPr>
            <w:tcW w:w="2988" w:type="dxa"/>
            <w:shd w:val="clear" w:color="auto" w:fill="808080" w:themeFill="background1" w:themeFillShade="80"/>
          </w:tcPr>
          <w:p w:rsidR="00372038" w:rsidRDefault="00372038" w:rsidP="006634F5">
            <w:pPr>
              <w:pStyle w:val="NoSpacing"/>
            </w:pPr>
          </w:p>
        </w:tc>
      </w:tr>
    </w:tbl>
    <w:p w:rsidR="0049140D" w:rsidRDefault="0049140D" w:rsidP="0049140D">
      <w:pPr>
        <w:pStyle w:val="NoSpacing"/>
        <w:ind w:left="360"/>
      </w:pPr>
    </w:p>
    <w:p w:rsidR="00315040" w:rsidRPr="00315040" w:rsidRDefault="00315040" w:rsidP="00315040">
      <w:pPr>
        <w:pStyle w:val="NoSpacing"/>
        <w:rPr>
          <w:u w:val="single"/>
        </w:rPr>
      </w:pPr>
      <w:r w:rsidRPr="00315040">
        <w:rPr>
          <w:u w:val="single"/>
        </w:rPr>
        <w:t xml:space="preserve">Line Specific </w:t>
      </w:r>
      <w:r>
        <w:rPr>
          <w:u w:val="single"/>
        </w:rPr>
        <w:t>Definitions</w:t>
      </w:r>
      <w:r w:rsidRPr="00315040">
        <w:rPr>
          <w:u w:val="single"/>
        </w:rPr>
        <w:t>:</w:t>
      </w:r>
    </w:p>
    <w:p w:rsidR="00315040" w:rsidRDefault="00315040" w:rsidP="00315040">
      <w:pPr>
        <w:pStyle w:val="NoSpacing"/>
        <w:ind w:left="360"/>
      </w:pPr>
    </w:p>
    <w:p w:rsidR="0049140D" w:rsidRDefault="0049140D" w:rsidP="0049140D">
      <w:pPr>
        <w:pStyle w:val="NoSpacing"/>
        <w:numPr>
          <w:ilvl w:val="0"/>
          <w:numId w:val="3"/>
        </w:numPr>
      </w:pPr>
      <w:r>
        <w:t>Pr</w:t>
      </w:r>
      <w:r w:rsidRPr="0049140D">
        <w:t>oof of non-profit or charitable status</w:t>
      </w:r>
      <w:r>
        <w:t xml:space="preserve"> may be required</w:t>
      </w:r>
      <w:r w:rsidRPr="0049140D">
        <w:t xml:space="preserve">. </w:t>
      </w:r>
      <w:r w:rsidR="00315040">
        <w:t xml:space="preserve">Weddings are considered private operations. </w:t>
      </w:r>
    </w:p>
    <w:p w:rsidR="00315040" w:rsidRDefault="00315040" w:rsidP="00315040">
      <w:pPr>
        <w:pStyle w:val="NoSpacing"/>
        <w:ind w:left="360"/>
      </w:pPr>
    </w:p>
    <w:p w:rsidR="0049140D" w:rsidRDefault="0049140D" w:rsidP="0049140D">
      <w:pPr>
        <w:pStyle w:val="NoSpacing"/>
        <w:numPr>
          <w:ilvl w:val="0"/>
          <w:numId w:val="3"/>
        </w:numPr>
      </w:pPr>
      <w:r w:rsidRPr="0049140D">
        <w:t>Required for all organized outdoor activities</w:t>
      </w:r>
      <w:r w:rsidR="00315040">
        <w:t>.</w:t>
      </w:r>
      <w:r w:rsidRPr="0049140D">
        <w:t xml:space="preserve"> </w:t>
      </w:r>
      <w:r>
        <w:t>Event requests will not be viewed until this fee is paid.</w:t>
      </w:r>
      <w:r w:rsidRPr="0049140D">
        <w:t xml:space="preserve"> </w:t>
      </w:r>
    </w:p>
    <w:p w:rsidR="00315040" w:rsidRDefault="00315040" w:rsidP="00315040">
      <w:pPr>
        <w:pStyle w:val="NoSpacing"/>
        <w:ind w:left="360"/>
      </w:pPr>
    </w:p>
    <w:p w:rsidR="0049140D" w:rsidRDefault="00315040" w:rsidP="0049140D">
      <w:pPr>
        <w:pStyle w:val="NoSpacing"/>
        <w:numPr>
          <w:ilvl w:val="0"/>
          <w:numId w:val="3"/>
        </w:numPr>
      </w:pPr>
      <w:r>
        <w:t>Small is considered to be</w:t>
      </w:r>
      <w:r w:rsidR="00503CC1" w:rsidRPr="0049140D">
        <w:t xml:space="preserve"> less than 600 square feet (examples may include one tent, registration table, </w:t>
      </w:r>
      <w:proofErr w:type="spellStart"/>
      <w:r w:rsidR="00503CC1" w:rsidRPr="0049140D">
        <w:t>dino</w:t>
      </w:r>
      <w:proofErr w:type="spellEnd"/>
      <w:r w:rsidR="00503CC1" w:rsidRPr="0049140D">
        <w:t xml:space="preserve">-bouncer, </w:t>
      </w:r>
      <w:proofErr w:type="spellStart"/>
      <w:r w:rsidR="00503CC1" w:rsidRPr="0049140D">
        <w:t>etc</w:t>
      </w:r>
      <w:proofErr w:type="spellEnd"/>
      <w:r w:rsidR="00503CC1" w:rsidRPr="0049140D">
        <w:t>)</w:t>
      </w:r>
      <w:r>
        <w:t>.</w:t>
      </w:r>
    </w:p>
    <w:p w:rsidR="0049140D" w:rsidRDefault="0049140D" w:rsidP="0049140D">
      <w:pPr>
        <w:pStyle w:val="NoSpacing"/>
        <w:ind w:left="360"/>
      </w:pPr>
      <w:r w:rsidRPr="0049140D">
        <w:t>Big is</w:t>
      </w:r>
      <w:r w:rsidR="00315040">
        <w:t xml:space="preserve"> considered to be</w:t>
      </w:r>
      <w:r w:rsidRPr="0049140D">
        <w:t xml:space="preserve"> more than 600 square feet (examples may include anything with a stage, multiple vendors, </w:t>
      </w:r>
      <w:proofErr w:type="gramStart"/>
      <w:r w:rsidRPr="0049140D">
        <w:t>beer</w:t>
      </w:r>
      <w:proofErr w:type="gramEnd"/>
      <w:r w:rsidRPr="0049140D">
        <w:t xml:space="preserve"> gardens)</w:t>
      </w:r>
      <w:r w:rsidR="00315040">
        <w:t>.</w:t>
      </w:r>
    </w:p>
    <w:p w:rsidR="00315040" w:rsidRDefault="00315040" w:rsidP="00315040">
      <w:pPr>
        <w:pStyle w:val="NoSpacing"/>
        <w:ind w:left="360"/>
      </w:pPr>
    </w:p>
    <w:p w:rsidR="00503CC1" w:rsidRDefault="00315040" w:rsidP="0049140D">
      <w:pPr>
        <w:pStyle w:val="NoSpacing"/>
        <w:numPr>
          <w:ilvl w:val="0"/>
          <w:numId w:val="3"/>
        </w:numPr>
      </w:pPr>
      <w:r>
        <w:t>Prime A</w:t>
      </w:r>
      <w:r w:rsidR="00503CC1" w:rsidRPr="0049140D">
        <w:t>rea i</w:t>
      </w:r>
      <w:r w:rsidR="008A3626" w:rsidRPr="0049140D">
        <w:t>s in</w:t>
      </w:r>
      <w:r w:rsidR="00503CC1" w:rsidRPr="0049140D">
        <w:t xml:space="preserve"> front of the Legislative Buildings up to the Lake</w:t>
      </w:r>
      <w:r w:rsidR="00906A97">
        <w:t xml:space="preserve">. </w:t>
      </w:r>
      <w:r w:rsidR="008A3626" w:rsidRPr="0049140D">
        <w:t>Areas designated as su</w:t>
      </w:r>
      <w:r>
        <w:t>ch are subject to change</w:t>
      </w:r>
      <w:r w:rsidR="0049140D">
        <w:t xml:space="preserve"> (see Legislative Area</w:t>
      </w:r>
      <w:r w:rsidR="00503CC1" w:rsidRPr="0049140D">
        <w:t xml:space="preserve"> map)</w:t>
      </w:r>
      <w:r>
        <w:t>.</w:t>
      </w:r>
      <w:r w:rsidR="00503CC1" w:rsidRPr="0049140D">
        <w:t xml:space="preserve"> </w:t>
      </w:r>
    </w:p>
    <w:p w:rsidR="00315040" w:rsidRDefault="00315040" w:rsidP="00315040">
      <w:pPr>
        <w:pStyle w:val="NoSpacing"/>
        <w:ind w:left="360"/>
      </w:pPr>
    </w:p>
    <w:p w:rsidR="0049140D" w:rsidRDefault="00187553" w:rsidP="00112357">
      <w:pPr>
        <w:pStyle w:val="NoSpacing"/>
        <w:numPr>
          <w:ilvl w:val="0"/>
          <w:numId w:val="3"/>
        </w:numPr>
      </w:pPr>
      <w:r>
        <w:t>The Gardens are directly in front of the Legislati</w:t>
      </w:r>
      <w:r w:rsidR="00906A97">
        <w:t xml:space="preserve">ve Building north to the Lake. </w:t>
      </w:r>
      <w:r>
        <w:t xml:space="preserve">It includes the paving stone pathways and lawn and is bordered by shrubs on the east and west and the </w:t>
      </w:r>
      <w:r>
        <w:lastRenderedPageBreak/>
        <w:t>s</w:t>
      </w:r>
      <w:r w:rsidR="00315040">
        <w:t>idewalks on the north and south</w:t>
      </w:r>
      <w:r w:rsidRPr="00187553">
        <w:t xml:space="preserve"> </w:t>
      </w:r>
      <w:r>
        <w:t>(see Legislative Area</w:t>
      </w:r>
      <w:r w:rsidRPr="0049140D">
        <w:t xml:space="preserve"> map)</w:t>
      </w:r>
      <w:r w:rsidR="00906A97">
        <w:t xml:space="preserve">. </w:t>
      </w:r>
      <w:r>
        <w:t>Fees for use of the Gardens are in addition to the Prime Area usage fee.</w:t>
      </w:r>
    </w:p>
    <w:p w:rsidR="00315040" w:rsidRDefault="00315040" w:rsidP="00315040">
      <w:pPr>
        <w:pStyle w:val="NoSpacing"/>
        <w:ind w:left="360"/>
      </w:pPr>
    </w:p>
    <w:p w:rsidR="00187553" w:rsidRDefault="00187553" w:rsidP="00187553">
      <w:pPr>
        <w:pStyle w:val="NoSpacing"/>
        <w:numPr>
          <w:ilvl w:val="0"/>
          <w:numId w:val="3"/>
        </w:numPr>
      </w:pPr>
      <w:r>
        <w:t>Events that attract large crowds (over 1000 people) may be re</w:t>
      </w:r>
      <w:r w:rsidR="00906A97">
        <w:t xml:space="preserve">quired to finance additional </w:t>
      </w:r>
      <w:proofErr w:type="spellStart"/>
      <w:r w:rsidR="00906A97">
        <w:t>Wascana</w:t>
      </w:r>
      <w:proofErr w:type="spellEnd"/>
      <w:r w:rsidR="00906A97">
        <w:t xml:space="preserve"> Centre</w:t>
      </w:r>
      <w:r>
        <w:t xml:space="preserve"> staff that will be necessary to maintain the outlying areas of the event site and the impact that drawin</w:t>
      </w:r>
      <w:r w:rsidR="00906A97">
        <w:t>g large crowds to the park has.</w:t>
      </w:r>
      <w:r>
        <w:t xml:space="preserve"> This may include additional park security, garbage collection and washroom maintena</w:t>
      </w:r>
      <w:r w:rsidR="00906A97">
        <w:t>nce. PCC</w:t>
      </w:r>
      <w:r>
        <w:t xml:space="preserve"> will determine the need based on historic information and inform the event organizers within their event contract.  </w:t>
      </w:r>
    </w:p>
    <w:p w:rsidR="00315040" w:rsidRDefault="00315040" w:rsidP="00315040">
      <w:pPr>
        <w:pStyle w:val="NoSpacing"/>
        <w:ind w:left="360"/>
      </w:pPr>
    </w:p>
    <w:p w:rsidR="00187553" w:rsidRDefault="00187553" w:rsidP="00187553">
      <w:pPr>
        <w:pStyle w:val="NoSpacing"/>
        <w:numPr>
          <w:ilvl w:val="0"/>
          <w:numId w:val="3"/>
        </w:numPr>
      </w:pPr>
      <w:r>
        <w:t>Events longer than two calendar days in duration (including set up and</w:t>
      </w:r>
      <w:r w:rsidR="006D561C">
        <w:t xml:space="preserve"> tear down times) will pay</w:t>
      </w:r>
      <w:r>
        <w:t xml:space="preserve"> an additional maintenance rate</w:t>
      </w:r>
      <w:r w:rsidR="00BE5B69">
        <w:t xml:space="preserve"> of $125</w:t>
      </w:r>
      <w:r w:rsidR="006D561C">
        <w:t xml:space="preserve"> per day of use in addition to the a</w:t>
      </w:r>
      <w:r w:rsidR="00315040">
        <w:t>rea usage</w:t>
      </w:r>
      <w:r w:rsidR="006D561C">
        <w:t xml:space="preserve"> fee</w:t>
      </w:r>
      <w:r>
        <w:t>.</w:t>
      </w:r>
    </w:p>
    <w:p w:rsidR="00315040" w:rsidRDefault="00315040" w:rsidP="00315040">
      <w:pPr>
        <w:pStyle w:val="NoSpacing"/>
        <w:ind w:left="360"/>
      </w:pPr>
    </w:p>
    <w:p w:rsidR="006D561C" w:rsidRDefault="006D561C" w:rsidP="006D561C">
      <w:pPr>
        <w:pStyle w:val="NoSpacing"/>
        <w:numPr>
          <w:ilvl w:val="0"/>
          <w:numId w:val="3"/>
        </w:numPr>
      </w:pPr>
      <w:r>
        <w:t xml:space="preserve">A vendor surcharge will be placed upon every food vendor that enters the park, whether they are large professional </w:t>
      </w:r>
      <w:r w:rsidR="00906A97">
        <w:t xml:space="preserve">trucks or small hot dog sales. </w:t>
      </w:r>
      <w:r>
        <w:t xml:space="preserve">This will be collected through the event organizer based on an estimated number of vendors.  </w:t>
      </w:r>
    </w:p>
    <w:p w:rsidR="006D561C" w:rsidRDefault="006D561C" w:rsidP="006D561C">
      <w:pPr>
        <w:pStyle w:val="NoSpacing"/>
        <w:ind w:left="360"/>
      </w:pPr>
      <w:r>
        <w:t>There are seasonal concessionaries that have rights to operate in Wascana Centre on a daily basis.  They are designated specific areas to park but do not have rights to your event.  You may ask them to move for your event.</w:t>
      </w:r>
    </w:p>
    <w:p w:rsidR="00315040" w:rsidRDefault="00315040" w:rsidP="00315040">
      <w:pPr>
        <w:pStyle w:val="NoSpacing"/>
        <w:ind w:left="360"/>
      </w:pPr>
    </w:p>
    <w:p w:rsidR="006D561C" w:rsidRDefault="006D561C" w:rsidP="00187553">
      <w:pPr>
        <w:pStyle w:val="NoSpacing"/>
        <w:numPr>
          <w:ilvl w:val="0"/>
          <w:numId w:val="3"/>
        </w:numPr>
      </w:pPr>
      <w:r>
        <w:t>Use of the lake</w:t>
      </w:r>
      <w:r w:rsidR="00315040">
        <w:t xml:space="preserve"> for a specific </w:t>
      </w:r>
      <w:r w:rsidR="00526F55">
        <w:t xml:space="preserve">organized </w:t>
      </w:r>
      <w:r w:rsidR="00315040">
        <w:t>activity or event purpose.</w:t>
      </w:r>
      <w:r>
        <w:t xml:space="preserve"> </w:t>
      </w:r>
    </w:p>
    <w:p w:rsidR="00315040" w:rsidRDefault="00315040" w:rsidP="00315040">
      <w:pPr>
        <w:pStyle w:val="NoSpacing"/>
        <w:ind w:left="360"/>
      </w:pPr>
    </w:p>
    <w:p w:rsidR="006D561C" w:rsidRDefault="006D561C" w:rsidP="00187553">
      <w:pPr>
        <w:pStyle w:val="NoSpacing"/>
        <w:numPr>
          <w:ilvl w:val="0"/>
          <w:numId w:val="3"/>
        </w:numPr>
      </w:pPr>
      <w:r>
        <w:t>Walks, runs, bike races, etc</w:t>
      </w:r>
      <w:r w:rsidR="00315040">
        <w:t>.</w:t>
      </w:r>
      <w:r>
        <w:t xml:space="preserve"> pay per </w:t>
      </w:r>
      <w:r w:rsidR="00315040">
        <w:t>kilometer</w:t>
      </w:r>
      <w:r>
        <w:t xml:space="preserve"> to cover costs of path maintenance and upgrades</w:t>
      </w:r>
      <w:r w:rsidR="00315040">
        <w:t>.</w:t>
      </w:r>
    </w:p>
    <w:p w:rsidR="00315040" w:rsidRDefault="00315040" w:rsidP="00315040">
      <w:pPr>
        <w:pStyle w:val="NoSpacing"/>
        <w:ind w:left="360"/>
      </w:pPr>
    </w:p>
    <w:p w:rsidR="006D561C" w:rsidRDefault="006D561C" w:rsidP="00187553">
      <w:pPr>
        <w:pStyle w:val="NoSpacing"/>
        <w:numPr>
          <w:ilvl w:val="0"/>
          <w:numId w:val="3"/>
        </w:numPr>
      </w:pPr>
      <w:r>
        <w:t xml:space="preserve">Any organized, advertised group use of the park for fitness classes or competitions must also obtain approvals and is </w:t>
      </w:r>
      <w:r w:rsidR="00552B75">
        <w:t xml:space="preserve">instead </w:t>
      </w:r>
      <w:r>
        <w:t xml:space="preserve">subject to an hourly use fee.  </w:t>
      </w:r>
    </w:p>
    <w:p w:rsidR="0049140D" w:rsidRDefault="0049140D" w:rsidP="00112357">
      <w:pPr>
        <w:pStyle w:val="NoSpacing"/>
      </w:pPr>
    </w:p>
    <w:p w:rsidR="006D561C" w:rsidRDefault="00315040" w:rsidP="00112357">
      <w:pPr>
        <w:pStyle w:val="NoSpacing"/>
        <w:rPr>
          <w:u w:val="single"/>
        </w:rPr>
      </w:pPr>
      <w:r w:rsidRPr="00315040">
        <w:rPr>
          <w:u w:val="single"/>
        </w:rPr>
        <w:t>General Notes:</w:t>
      </w:r>
    </w:p>
    <w:p w:rsidR="00315040" w:rsidRPr="00315040" w:rsidRDefault="00315040" w:rsidP="00112357">
      <w:pPr>
        <w:pStyle w:val="NoSpacing"/>
        <w:rPr>
          <w:u w:val="single"/>
        </w:rPr>
      </w:pPr>
    </w:p>
    <w:p w:rsidR="006D561C" w:rsidRPr="001B471B" w:rsidRDefault="006D561C" w:rsidP="006D56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1B471B">
        <w:rPr>
          <w:rFonts w:ascii="Arial" w:hAnsi="Arial" w:cs="Arial"/>
          <w:sz w:val="22"/>
          <w:szCs w:val="22"/>
        </w:rPr>
        <w:t xml:space="preserve">ower is not available at any outdoor location within the Centre. Event organizers must provide a portable supply.  </w:t>
      </w:r>
    </w:p>
    <w:p w:rsidR="00442BD8" w:rsidRDefault="00442BD8" w:rsidP="00503CC1">
      <w:pPr>
        <w:pStyle w:val="NoSpacing"/>
      </w:pPr>
    </w:p>
    <w:p w:rsidR="00E04600" w:rsidRDefault="00E04600" w:rsidP="00503CC1">
      <w:pPr>
        <w:pStyle w:val="NoSpacing"/>
      </w:pPr>
      <w:r>
        <w:t>The</w:t>
      </w:r>
      <w:r w:rsidR="001B471B">
        <w:t xml:space="preserve"> event</w:t>
      </w:r>
      <w:r>
        <w:t xml:space="preserve"> fees do not apply to those engaging in rallies or demonstrations</w:t>
      </w:r>
      <w:r w:rsidR="00BE3006">
        <w:t xml:space="preserve">, or police, fire and military exercises unless </w:t>
      </w:r>
      <w:r w:rsidR="001B471B">
        <w:t>event activities are organized i</w:t>
      </w:r>
      <w:r w:rsidR="00BE3006">
        <w:t xml:space="preserve">n conjunction.  Casual park users who </w:t>
      </w:r>
      <w:r w:rsidR="001B471B">
        <w:t>visit</w:t>
      </w:r>
      <w:r w:rsidR="00BE3006">
        <w:t xml:space="preserve"> for picnics or photos </w:t>
      </w:r>
      <w:r w:rsidR="001B471B">
        <w:t>do not need to book with Wascana Centre and can enjoy the facility without charges, on a first come - first serve basis.</w:t>
      </w:r>
    </w:p>
    <w:p w:rsidR="001B471B" w:rsidRDefault="001B471B" w:rsidP="001B471B">
      <w:pPr>
        <w:rPr>
          <w:rFonts w:ascii="Arial" w:hAnsi="Arial" w:cs="Arial"/>
          <w:sz w:val="22"/>
          <w:szCs w:val="22"/>
        </w:rPr>
      </w:pPr>
    </w:p>
    <w:p w:rsidR="006D561C" w:rsidRDefault="00906A97" w:rsidP="006D561C">
      <w:pPr>
        <w:pStyle w:val="NoSpacing"/>
      </w:pPr>
      <w:r>
        <w:t>If any Wascana Centre</w:t>
      </w:r>
      <w:bookmarkStart w:id="0" w:name="_GoBack"/>
      <w:bookmarkEnd w:id="0"/>
      <w:r w:rsidR="006D561C">
        <w:t xml:space="preserve"> employee is required specific</w:t>
      </w:r>
      <w:r w:rsidR="00BE5B69">
        <w:t>ally for an event, a fee of $125</w:t>
      </w:r>
      <w:r w:rsidR="006D561C">
        <w:t xml:space="preserve"> per worker per hour will be charged.  </w:t>
      </w:r>
    </w:p>
    <w:p w:rsidR="00470EE4" w:rsidRDefault="00470EE4" w:rsidP="006D561C">
      <w:pPr>
        <w:pStyle w:val="NoSpacing"/>
      </w:pPr>
    </w:p>
    <w:p w:rsidR="008A3626" w:rsidRPr="006D561C" w:rsidRDefault="00470EE4" w:rsidP="007B6FDA">
      <w:pPr>
        <w:pStyle w:val="NoSpacing"/>
      </w:pPr>
      <w:r>
        <w:t xml:space="preserve">It is the event organizer’s responsibility to clearly communicate all expectations, authorizations and restrictions to their committees, contractors, volunteers and participants </w:t>
      </w:r>
      <w:r w:rsidR="003A510E">
        <w:t>and to ensure their compliance.</w:t>
      </w:r>
    </w:p>
    <w:sectPr w:rsidR="008A3626" w:rsidRPr="006D561C" w:rsidSect="00463878">
      <w:footerReference w:type="default" r:id="rId8"/>
      <w:pgSz w:w="12240" w:h="15840"/>
      <w:pgMar w:top="1440" w:right="1440" w:bottom="1440" w:left="144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D91" w:rsidRDefault="00891D91" w:rsidP="00891D91">
      <w:r>
        <w:separator/>
      </w:r>
    </w:p>
  </w:endnote>
  <w:endnote w:type="continuationSeparator" w:id="0">
    <w:p w:rsidR="00891D91" w:rsidRDefault="00891D91" w:rsidP="00891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153792"/>
      <w:docPartObj>
        <w:docPartGallery w:val="Page Numbers (Bottom of Page)"/>
        <w:docPartUnique/>
      </w:docPartObj>
    </w:sdtPr>
    <w:sdtEndPr/>
    <w:sdtContent>
      <w:p w:rsidR="00891D91" w:rsidRDefault="00CA3258">
        <w:pPr>
          <w:pStyle w:val="Footer"/>
          <w:jc w:val="center"/>
        </w:pPr>
        <w:r w:rsidRPr="00891D91">
          <w:rPr>
            <w:rFonts w:ascii="Arial" w:hAnsi="Arial" w:cs="Arial"/>
            <w:sz w:val="20"/>
            <w:szCs w:val="20"/>
          </w:rPr>
          <w:fldChar w:fldCharType="begin"/>
        </w:r>
        <w:r w:rsidR="00891D91" w:rsidRPr="00891D9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891D91">
          <w:rPr>
            <w:rFonts w:ascii="Arial" w:hAnsi="Arial" w:cs="Arial"/>
            <w:sz w:val="20"/>
            <w:szCs w:val="20"/>
          </w:rPr>
          <w:fldChar w:fldCharType="separate"/>
        </w:r>
        <w:r w:rsidR="00906A97">
          <w:rPr>
            <w:rFonts w:ascii="Arial" w:hAnsi="Arial" w:cs="Arial"/>
            <w:noProof/>
            <w:sz w:val="20"/>
            <w:szCs w:val="20"/>
          </w:rPr>
          <w:t>1</w:t>
        </w:r>
        <w:r w:rsidRPr="00891D9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891D91" w:rsidRDefault="00891D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D91" w:rsidRDefault="00891D91" w:rsidP="00891D91">
      <w:r>
        <w:separator/>
      </w:r>
    </w:p>
  </w:footnote>
  <w:footnote w:type="continuationSeparator" w:id="0">
    <w:p w:rsidR="00891D91" w:rsidRDefault="00891D91" w:rsidP="00891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5C5"/>
    <w:multiLevelType w:val="hybridMultilevel"/>
    <w:tmpl w:val="535421BC"/>
    <w:lvl w:ilvl="0" w:tplc="AE384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456761"/>
    <w:multiLevelType w:val="hybridMultilevel"/>
    <w:tmpl w:val="56905E5C"/>
    <w:lvl w:ilvl="0" w:tplc="AE384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D0740"/>
    <w:multiLevelType w:val="hybridMultilevel"/>
    <w:tmpl w:val="568CBB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C1"/>
    <w:rsid w:val="00001561"/>
    <w:rsid w:val="00085CB4"/>
    <w:rsid w:val="00112357"/>
    <w:rsid w:val="001674E7"/>
    <w:rsid w:val="00187553"/>
    <w:rsid w:val="001B0F08"/>
    <w:rsid w:val="001B471B"/>
    <w:rsid w:val="001C660E"/>
    <w:rsid w:val="001D5A90"/>
    <w:rsid w:val="002167FA"/>
    <w:rsid w:val="00262C84"/>
    <w:rsid w:val="00306E72"/>
    <w:rsid w:val="00315040"/>
    <w:rsid w:val="00335570"/>
    <w:rsid w:val="00343D40"/>
    <w:rsid w:val="00365015"/>
    <w:rsid w:val="00372038"/>
    <w:rsid w:val="003821A2"/>
    <w:rsid w:val="003A510E"/>
    <w:rsid w:val="003F7BBA"/>
    <w:rsid w:val="00411A22"/>
    <w:rsid w:val="00442BD8"/>
    <w:rsid w:val="00463878"/>
    <w:rsid w:val="00470EE4"/>
    <w:rsid w:val="0049140D"/>
    <w:rsid w:val="00502FB3"/>
    <w:rsid w:val="00503CC1"/>
    <w:rsid w:val="00526F55"/>
    <w:rsid w:val="00552B75"/>
    <w:rsid w:val="005B2023"/>
    <w:rsid w:val="006634F5"/>
    <w:rsid w:val="006D561C"/>
    <w:rsid w:val="00736C10"/>
    <w:rsid w:val="00786E24"/>
    <w:rsid w:val="0079710F"/>
    <w:rsid w:val="007B6FDA"/>
    <w:rsid w:val="007E7FE2"/>
    <w:rsid w:val="00830C28"/>
    <w:rsid w:val="0084179A"/>
    <w:rsid w:val="00891D91"/>
    <w:rsid w:val="008A3626"/>
    <w:rsid w:val="00906A97"/>
    <w:rsid w:val="009B4FA3"/>
    <w:rsid w:val="009E22E8"/>
    <w:rsid w:val="009F03BE"/>
    <w:rsid w:val="00A17D9D"/>
    <w:rsid w:val="00AD0B37"/>
    <w:rsid w:val="00AF78E3"/>
    <w:rsid w:val="00BC0620"/>
    <w:rsid w:val="00BE3006"/>
    <w:rsid w:val="00BE5B69"/>
    <w:rsid w:val="00C043B9"/>
    <w:rsid w:val="00C11C39"/>
    <w:rsid w:val="00C27B0A"/>
    <w:rsid w:val="00CA3258"/>
    <w:rsid w:val="00CF7C0C"/>
    <w:rsid w:val="00D570AB"/>
    <w:rsid w:val="00DC5404"/>
    <w:rsid w:val="00DF36C4"/>
    <w:rsid w:val="00E04600"/>
    <w:rsid w:val="00E42777"/>
    <w:rsid w:val="00E7061B"/>
    <w:rsid w:val="00F8768F"/>
    <w:rsid w:val="00FB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BBA"/>
    <w:pPr>
      <w:spacing w:after="0" w:line="240" w:lineRule="auto"/>
    </w:pPr>
  </w:style>
  <w:style w:type="table" w:styleId="TableGrid">
    <w:name w:val="Table Grid"/>
    <w:basedOn w:val="TableNormal"/>
    <w:uiPriority w:val="59"/>
    <w:rsid w:val="00503C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BE30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91D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1D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1D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D9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BBA"/>
    <w:pPr>
      <w:spacing w:after="0" w:line="240" w:lineRule="auto"/>
    </w:pPr>
  </w:style>
  <w:style w:type="table" w:styleId="TableGrid">
    <w:name w:val="Table Grid"/>
    <w:basedOn w:val="TableNormal"/>
    <w:uiPriority w:val="59"/>
    <w:rsid w:val="00503C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BE30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91D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1D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1D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D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carissa.robb</dc:creator>
  <cp:lastModifiedBy>Lauren Hope</cp:lastModifiedBy>
  <cp:revision>2</cp:revision>
  <cp:lastPrinted>2016-09-29T15:38:00Z</cp:lastPrinted>
  <dcterms:created xsi:type="dcterms:W3CDTF">2017-06-08T17:15:00Z</dcterms:created>
  <dcterms:modified xsi:type="dcterms:W3CDTF">2017-06-08T17:15:00Z</dcterms:modified>
</cp:coreProperties>
</file>